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2E" w:rsidRDefault="00F86A2E">
      <w:pPr>
        <w:pStyle w:val="a3"/>
        <w:ind w:left="468"/>
        <w:rPr>
          <w:sz w:val="20"/>
        </w:rPr>
      </w:pPr>
    </w:p>
    <w:p w:rsidR="00F86A2E" w:rsidRDefault="00F86A2E">
      <w:pPr>
        <w:pStyle w:val="a3"/>
        <w:rPr>
          <w:sz w:val="36"/>
        </w:rPr>
      </w:pPr>
    </w:p>
    <w:p w:rsidR="00A10009" w:rsidRDefault="00A10009" w:rsidP="00A10009">
      <w:pPr>
        <w:pStyle w:val="a3"/>
        <w:ind w:left="470"/>
        <w:rPr>
          <w:sz w:val="20"/>
        </w:rPr>
      </w:pPr>
    </w:p>
    <w:p w:rsidR="00A10009" w:rsidRDefault="00A10009" w:rsidP="00A1000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09" w:rsidRDefault="00A10009" w:rsidP="00A1000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10009" w:rsidRDefault="00A10009" w:rsidP="00A1000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10009" w:rsidRDefault="00A10009" w:rsidP="00A1000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10009" w:rsidRDefault="00A10009" w:rsidP="00A1000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10009" w:rsidRDefault="00A10009" w:rsidP="00A1000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10009" w:rsidRPr="00A10009" w:rsidRDefault="00A10009" w:rsidP="00A1000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1000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1000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10009">
        <w:rPr>
          <w:sz w:val="24"/>
          <w:szCs w:val="24"/>
          <w:lang w:val="en-US" w:eastAsia="ru-RU"/>
        </w:rPr>
        <w:t>:</w:t>
      </w:r>
      <w:r w:rsidRPr="00A1000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1000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1000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1000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1000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10009" w:rsidRDefault="00A10009" w:rsidP="00A1000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10009" w:rsidRDefault="00A10009" w:rsidP="00A10009">
      <w:pPr>
        <w:spacing w:before="91"/>
        <w:ind w:firstLine="708"/>
        <w:jc w:val="both"/>
        <w:rPr>
          <w:sz w:val="24"/>
          <w:szCs w:val="24"/>
        </w:rPr>
      </w:pPr>
    </w:p>
    <w:p w:rsidR="00A10009" w:rsidRDefault="00A10009" w:rsidP="00A10009">
      <w:pPr>
        <w:spacing w:before="91"/>
        <w:ind w:firstLine="708"/>
        <w:jc w:val="both"/>
        <w:rPr>
          <w:sz w:val="24"/>
          <w:szCs w:val="24"/>
        </w:rPr>
      </w:pPr>
    </w:p>
    <w:p w:rsidR="00A10009" w:rsidRDefault="00A10009" w:rsidP="00A10009">
      <w:pPr>
        <w:spacing w:before="91"/>
        <w:ind w:firstLine="708"/>
        <w:jc w:val="both"/>
        <w:rPr>
          <w:sz w:val="24"/>
          <w:szCs w:val="24"/>
        </w:rPr>
      </w:pPr>
    </w:p>
    <w:p w:rsidR="00A10009" w:rsidRDefault="00A10009" w:rsidP="00A1000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10009" w:rsidTr="00405E8F">
        <w:trPr>
          <w:trHeight w:val="1820"/>
        </w:trPr>
        <w:tc>
          <w:tcPr>
            <w:tcW w:w="4253" w:type="dxa"/>
            <w:hideMark/>
          </w:tcPr>
          <w:p w:rsidR="00A10009" w:rsidRPr="00ED69E8" w:rsidRDefault="00A10009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A10009" w:rsidRPr="00ED69E8" w:rsidRDefault="00A10009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10009" w:rsidRPr="00ED69E8" w:rsidRDefault="00A10009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A10009" w:rsidRPr="00ED69E8" w:rsidRDefault="00A10009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A10009" w:rsidRDefault="00A10009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10009" w:rsidRDefault="00A10009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F86A2E" w:rsidRDefault="00F86A2E">
      <w:pPr>
        <w:pStyle w:val="a3"/>
        <w:rPr>
          <w:sz w:val="36"/>
        </w:rPr>
      </w:pPr>
    </w:p>
    <w:p w:rsidR="00F86A2E" w:rsidRDefault="00F86A2E">
      <w:pPr>
        <w:pStyle w:val="a3"/>
        <w:rPr>
          <w:sz w:val="36"/>
        </w:rPr>
      </w:pPr>
    </w:p>
    <w:p w:rsidR="00F86A2E" w:rsidRDefault="00F86A2E">
      <w:pPr>
        <w:pStyle w:val="a3"/>
        <w:rPr>
          <w:sz w:val="36"/>
        </w:rPr>
      </w:pPr>
    </w:p>
    <w:p w:rsidR="00F86A2E" w:rsidRDefault="00F86A2E">
      <w:pPr>
        <w:pStyle w:val="a3"/>
        <w:spacing w:before="348"/>
        <w:rPr>
          <w:sz w:val="36"/>
        </w:rPr>
      </w:pPr>
    </w:p>
    <w:p w:rsidR="00F86A2E" w:rsidRDefault="00A10009">
      <w:pPr>
        <w:ind w:left="515" w:right="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F86A2E" w:rsidRDefault="00A10009">
      <w:pPr>
        <w:spacing w:before="2"/>
        <w:ind w:left="2829" w:right="2695" w:hanging="2"/>
        <w:jc w:val="center"/>
        <w:rPr>
          <w:sz w:val="36"/>
        </w:rPr>
      </w:pPr>
      <w:bookmarkStart w:id="0" w:name="по_охране_труда_при_работе"/>
      <w:bookmarkEnd w:id="0"/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2"/>
          <w:sz w:val="36"/>
        </w:rPr>
        <w:t xml:space="preserve"> </w:t>
      </w:r>
      <w:r>
        <w:rPr>
          <w:sz w:val="36"/>
        </w:rPr>
        <w:t>при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работе </w:t>
      </w:r>
      <w:bookmarkStart w:id="1" w:name="с_жидкими_углеводородами"/>
      <w:bookmarkEnd w:id="1"/>
      <w:r>
        <w:rPr>
          <w:sz w:val="36"/>
        </w:rPr>
        <w:t>с</w:t>
      </w:r>
      <w:r>
        <w:rPr>
          <w:spacing w:val="1"/>
          <w:sz w:val="36"/>
        </w:rPr>
        <w:t xml:space="preserve"> </w:t>
      </w:r>
      <w:r>
        <w:rPr>
          <w:sz w:val="36"/>
        </w:rPr>
        <w:t>жидкими</w:t>
      </w:r>
      <w:r>
        <w:rPr>
          <w:spacing w:val="4"/>
          <w:sz w:val="36"/>
        </w:rPr>
        <w:t xml:space="preserve"> </w:t>
      </w:r>
      <w:r>
        <w:rPr>
          <w:spacing w:val="-2"/>
          <w:sz w:val="36"/>
        </w:rPr>
        <w:t>углеводородами</w:t>
      </w:r>
    </w:p>
    <w:p w:rsidR="00F86A2E" w:rsidRDefault="00A10009">
      <w:pPr>
        <w:ind w:left="515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08.23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rPr>
          <w:sz w:val="20"/>
        </w:rPr>
      </w:pPr>
    </w:p>
    <w:p w:rsidR="00F86A2E" w:rsidRDefault="00F86A2E">
      <w:pPr>
        <w:pStyle w:val="a3"/>
        <w:spacing w:before="56"/>
        <w:rPr>
          <w:sz w:val="20"/>
        </w:rPr>
      </w:pPr>
      <w:bookmarkStart w:id="2" w:name="_GoBack"/>
      <w:bookmarkEnd w:id="2"/>
    </w:p>
    <w:p w:rsidR="00F86A2E" w:rsidRDefault="00F86A2E">
      <w:pPr>
        <w:pStyle w:val="a3"/>
        <w:rPr>
          <w:sz w:val="20"/>
        </w:rPr>
        <w:sectPr w:rsidR="00F86A2E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F86A2E" w:rsidRDefault="00A10009">
      <w:pPr>
        <w:spacing w:before="72"/>
        <w:ind w:left="515" w:right="38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939C6" id="Graphic 5" o:spid="_x0000_s1026" style="position:absolute;margin-left:35.4pt;margin-top:470.4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1gkW73AAAAAkBAAAPAAAAZHJzL2Rv&#10;d25yZXYueG1sTI/BTsMwEETvSPyDtUjcqNMImpDGqSJUekW0/QA3XpKosR3sbRr+nu0Jbrs7o9k3&#10;5Wa2g5gwxN47BctFAgJd403vWgXHw/tTDiKSdkYP3qGCH4ywqe7vSl0Yf3WfOO2pFRziYqEVdERj&#10;IWVsOrQ6LvyIjrUvH6wmXkMrTdBXDreDTJNkJa3uHX/o9IhvHTbn/cUqoN2U2e/cn+st0UfYHept&#10;2rVKPT7M9RoE4Ux/ZrjhMzpUzHTyF2eiGBRkCZOTgtfn28CGLOVuJz6s8heQVSn/N6h+AQ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LWCRbv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3" w:name="ИНСТРУКЦИЯ"/>
      <w:bookmarkEnd w:id="3"/>
      <w:r>
        <w:rPr>
          <w:b/>
          <w:spacing w:val="-2"/>
          <w:sz w:val="24"/>
        </w:rPr>
        <w:t>ИНСТРУКЦИЯ</w:t>
      </w:r>
    </w:p>
    <w:p w:rsidR="00F86A2E" w:rsidRDefault="00A10009">
      <w:pPr>
        <w:ind w:left="515" w:right="386"/>
        <w:jc w:val="center"/>
        <w:rPr>
          <w:b/>
          <w:sz w:val="24"/>
        </w:rPr>
      </w:pPr>
      <w:bookmarkStart w:id="4" w:name="по_охране_труда_при_работе_с_жидкими_угл"/>
      <w:bookmarkEnd w:id="4"/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жидкими</w:t>
      </w:r>
      <w:r>
        <w:rPr>
          <w:b/>
          <w:spacing w:val="-2"/>
          <w:sz w:val="24"/>
        </w:rPr>
        <w:t xml:space="preserve"> углеводородами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75"/>
        </w:tabs>
        <w:spacing w:before="272"/>
        <w:ind w:left="140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жидкими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углеводородами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 в кабинете химии содержит правила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техники безопасности при работе с жидкими углеводородами </w:t>
      </w:r>
      <w:r>
        <w:rPr>
          <w:sz w:val="24"/>
        </w:rPr>
        <w:t>и необходима для использования учителем и лаборантом на уроках химии.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80"/>
        </w:tabs>
        <w:ind w:left="140" w:right="5" w:firstLine="0"/>
        <w:jc w:val="both"/>
        <w:rPr>
          <w:sz w:val="24"/>
        </w:rPr>
      </w:pPr>
      <w:r>
        <w:rPr>
          <w:b/>
          <w:sz w:val="24"/>
        </w:rPr>
        <w:t>Бензол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нарушает деятельность центральной нервной системы и костно-мозговое кроветворен</w:t>
      </w:r>
      <w:r>
        <w:rPr>
          <w:sz w:val="24"/>
        </w:rPr>
        <w:t>ие; его алифатические производные толуол и ксилол вызывают лейкоцитоз. Бензол</w:t>
      </w:r>
      <w:r>
        <w:rPr>
          <w:spacing w:val="-10"/>
          <w:sz w:val="24"/>
        </w:rPr>
        <w:t xml:space="preserve"> </w:t>
      </w:r>
      <w:r>
        <w:rPr>
          <w:sz w:val="24"/>
        </w:rPr>
        <w:t>проникает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кожу,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растворяясь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жирах.</w:t>
      </w:r>
      <w:r>
        <w:rPr>
          <w:spacing w:val="-7"/>
          <w:sz w:val="24"/>
        </w:rPr>
        <w:t xml:space="preserve"> </w:t>
      </w:r>
      <w:r>
        <w:rPr>
          <w:sz w:val="24"/>
        </w:rPr>
        <w:t>При длительном контакте незащищенной кожи с бензолом возникает дерматит. Предельно- допустимая конце</w:t>
      </w:r>
      <w:r>
        <w:rPr>
          <w:sz w:val="24"/>
        </w:rPr>
        <w:t>нтрация бензола составляет 20 мг/м3.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80"/>
        </w:tabs>
        <w:ind w:left="140" w:right="5" w:firstLine="0"/>
        <w:jc w:val="both"/>
        <w:rPr>
          <w:sz w:val="24"/>
        </w:rPr>
      </w:pPr>
      <w:r>
        <w:rPr>
          <w:b/>
          <w:sz w:val="24"/>
        </w:rPr>
        <w:t xml:space="preserve">Работать с бензолом следует </w:t>
      </w:r>
      <w:r>
        <w:rPr>
          <w:sz w:val="24"/>
        </w:rPr>
        <w:t>под тягой и обязательно при этом защищать кожу рук перчатками. Учитывая, что пары</w:t>
      </w:r>
      <w:r>
        <w:rPr>
          <w:spacing w:val="-1"/>
          <w:sz w:val="24"/>
        </w:rPr>
        <w:t xml:space="preserve"> </w:t>
      </w:r>
      <w:r>
        <w:rPr>
          <w:sz w:val="24"/>
        </w:rPr>
        <w:t>бензола имеют нижний предел взрываемости 5—6%, лучше предпочесть другой растворитель.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472"/>
        </w:tabs>
        <w:ind w:left="140" w:firstLine="0"/>
        <w:jc w:val="both"/>
        <w:rPr>
          <w:sz w:val="24"/>
        </w:rPr>
      </w:pPr>
      <w:r>
        <w:rPr>
          <w:sz w:val="24"/>
        </w:rPr>
        <w:t>При тяжелых отравлениях препаратами возможно нарушение дыхания и сердечной деятельности. Поэтому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первая помощь заключается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 удалении пострадавшего из зоны зараженной атмосферы, проведение искусственного дыхания и непрямого массажа сердца.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452"/>
        </w:tabs>
        <w:ind w:left="140" w:right="2" w:firstLine="0"/>
        <w:jc w:val="both"/>
        <w:rPr>
          <w:sz w:val="24"/>
        </w:rPr>
      </w:pPr>
      <w:r>
        <w:rPr>
          <w:sz w:val="24"/>
        </w:rPr>
        <w:t xml:space="preserve">При попадании бензола в желудок следует дать растительное масло для замедления процесса всасывания и экстренно промыть желудок водой. Аналогичные меры применяются и при работе с </w:t>
      </w:r>
      <w:r>
        <w:rPr>
          <w:b/>
          <w:sz w:val="24"/>
        </w:rPr>
        <w:t>бензинами</w:t>
      </w:r>
      <w:r>
        <w:rPr>
          <w:sz w:val="24"/>
        </w:rPr>
        <w:t>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Гексан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работе сравнительно безопасен, но имеет нижний предел взры</w:t>
      </w:r>
      <w:r>
        <w:rPr>
          <w:sz w:val="24"/>
        </w:rPr>
        <w:t xml:space="preserve">ваемости паров в смеси с воздухом — 1,2%. Предельно допустимая концентрация (ПДК) его составляет 300 </w:t>
      </w:r>
      <w:r>
        <w:rPr>
          <w:spacing w:val="-2"/>
          <w:sz w:val="24"/>
        </w:rPr>
        <w:t>мг/м3.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80"/>
        </w:tabs>
        <w:ind w:left="140" w:right="0" w:firstLine="0"/>
        <w:jc w:val="both"/>
        <w:rPr>
          <w:sz w:val="24"/>
        </w:rPr>
      </w:pPr>
      <w:r>
        <w:rPr>
          <w:b/>
          <w:sz w:val="24"/>
        </w:rPr>
        <w:t>Стирол</w:t>
      </w:r>
      <w:r>
        <w:rPr>
          <w:sz w:val="24"/>
        </w:rPr>
        <w:t>. Общетоксическое действие стирола гораздо слабее,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действие бензола,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 он сильнее раздражает слизистые оболочки. Его пары вызывают ос</w:t>
      </w:r>
      <w:r>
        <w:rPr>
          <w:sz w:val="24"/>
        </w:rPr>
        <w:t>трые отравления. ПДК 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мг/м3.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стиролом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исправно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вытяжном</w:t>
      </w:r>
      <w:r>
        <w:rPr>
          <w:spacing w:val="-10"/>
          <w:sz w:val="24"/>
        </w:rPr>
        <w:t xml:space="preserve"> </w:t>
      </w:r>
      <w:r>
        <w:rPr>
          <w:sz w:val="24"/>
        </w:rPr>
        <w:t>шкафу, защищая руки перчатками. Первая помощь — как при действии бензола.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Циклогексан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весьма взрывоопасен — нижний предел 1,3%. Его ПДК составляет 80 мг/л</w:t>
      </w:r>
      <w:r>
        <w:rPr>
          <w:sz w:val="24"/>
        </w:rPr>
        <w:t>. Для организма препарат сравнительно безопасен, его можно применять как растворитель вместо бензола и других органических жидкостей.</w:t>
      </w:r>
    </w:p>
    <w:p w:rsidR="00F86A2E" w:rsidRDefault="00A10009">
      <w:pPr>
        <w:pStyle w:val="a4"/>
        <w:numPr>
          <w:ilvl w:val="0"/>
          <w:numId w:val="1"/>
        </w:numPr>
        <w:tabs>
          <w:tab w:val="left" w:pos="536"/>
        </w:tabs>
        <w:ind w:left="140" w:right="8" w:firstLine="0"/>
        <w:jc w:val="both"/>
        <w:rPr>
          <w:sz w:val="24"/>
        </w:rPr>
      </w:pPr>
      <w:r>
        <w:rPr>
          <w:sz w:val="24"/>
        </w:rPr>
        <w:t>Препараты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выдаются.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только учителем. </w:t>
      </w:r>
      <w:r>
        <w:rPr>
          <w:color w:val="1B9CAB"/>
          <w:sz w:val="24"/>
          <w:u w:val="single" w:color="1B9CAB"/>
        </w:rPr>
        <w:t>Группа хранения № 4</w:t>
      </w:r>
      <w:r>
        <w:rPr>
          <w:color w:val="1B9CAB"/>
          <w:sz w:val="24"/>
        </w:rPr>
        <w:t xml:space="preserve"> </w:t>
      </w:r>
      <w:r>
        <w:rPr>
          <w:sz w:val="24"/>
        </w:rPr>
        <w:t>— легковоспламеняющиес</w:t>
      </w:r>
      <w:r>
        <w:rPr>
          <w:sz w:val="24"/>
        </w:rPr>
        <w:t>я жидкости.</w:t>
      </w:r>
    </w:p>
    <w:p w:rsidR="00F86A2E" w:rsidRDefault="00A10009">
      <w:pPr>
        <w:pStyle w:val="a3"/>
        <w:ind w:left="140" w:right="1"/>
        <w:jc w:val="both"/>
      </w:pPr>
      <w:r>
        <w:t>При выполнении работы с эфирами, а также с ацетоном учителю и лаборанту необходимо строго соблюдать</w:t>
      </w:r>
      <w:r>
        <w:rPr>
          <w:spacing w:val="-4"/>
        </w:rPr>
        <w:t xml:space="preserve"> </w:t>
      </w:r>
      <w:hyperlink r:id="rId7">
        <w:r>
          <w:t>инструкцию по охране труда при работе с эфирами и ацетоном</w:t>
        </w:r>
      </w:hyperlink>
      <w:r>
        <w:rPr>
          <w:spacing w:val="-2"/>
        </w:rPr>
        <w:t xml:space="preserve"> </w:t>
      </w:r>
      <w:r>
        <w:t xml:space="preserve">в кабинете </w:t>
      </w:r>
      <w:r>
        <w:rPr>
          <w:spacing w:val="-2"/>
        </w:rPr>
        <w:t>химии.</w:t>
      </w:r>
    </w:p>
    <w:sectPr w:rsidR="00F86A2E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E7F"/>
    <w:multiLevelType w:val="hybridMultilevel"/>
    <w:tmpl w:val="F79A5FE0"/>
    <w:lvl w:ilvl="0" w:tplc="A850B46C">
      <w:start w:val="1"/>
      <w:numFmt w:val="decimal"/>
      <w:lvlText w:val="%1."/>
      <w:lvlJc w:val="left"/>
      <w:pPr>
        <w:ind w:left="1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0DA20">
      <w:numFmt w:val="bullet"/>
      <w:lvlText w:val="•"/>
      <w:lvlJc w:val="left"/>
      <w:pPr>
        <w:ind w:left="1104" w:hanging="236"/>
      </w:pPr>
      <w:rPr>
        <w:rFonts w:hint="default"/>
        <w:lang w:val="ru-RU" w:eastAsia="en-US" w:bidi="ar-SA"/>
      </w:rPr>
    </w:lvl>
    <w:lvl w:ilvl="2" w:tplc="86D29FE0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D0328912">
      <w:numFmt w:val="bullet"/>
      <w:lvlText w:val="•"/>
      <w:lvlJc w:val="left"/>
      <w:pPr>
        <w:ind w:left="3032" w:hanging="236"/>
      </w:pPr>
      <w:rPr>
        <w:rFonts w:hint="default"/>
        <w:lang w:val="ru-RU" w:eastAsia="en-US" w:bidi="ar-SA"/>
      </w:rPr>
    </w:lvl>
    <w:lvl w:ilvl="4" w:tplc="F348908E">
      <w:numFmt w:val="bullet"/>
      <w:lvlText w:val="•"/>
      <w:lvlJc w:val="left"/>
      <w:pPr>
        <w:ind w:left="3997" w:hanging="236"/>
      </w:pPr>
      <w:rPr>
        <w:rFonts w:hint="default"/>
        <w:lang w:val="ru-RU" w:eastAsia="en-US" w:bidi="ar-SA"/>
      </w:rPr>
    </w:lvl>
    <w:lvl w:ilvl="5" w:tplc="0C58E1F2">
      <w:numFmt w:val="bullet"/>
      <w:lvlText w:val="•"/>
      <w:lvlJc w:val="left"/>
      <w:pPr>
        <w:ind w:left="4961" w:hanging="236"/>
      </w:pPr>
      <w:rPr>
        <w:rFonts w:hint="default"/>
        <w:lang w:val="ru-RU" w:eastAsia="en-US" w:bidi="ar-SA"/>
      </w:rPr>
    </w:lvl>
    <w:lvl w:ilvl="6" w:tplc="A3706E66">
      <w:numFmt w:val="bullet"/>
      <w:lvlText w:val="•"/>
      <w:lvlJc w:val="left"/>
      <w:pPr>
        <w:ind w:left="5925" w:hanging="236"/>
      </w:pPr>
      <w:rPr>
        <w:rFonts w:hint="default"/>
        <w:lang w:val="ru-RU" w:eastAsia="en-US" w:bidi="ar-SA"/>
      </w:rPr>
    </w:lvl>
    <w:lvl w:ilvl="7" w:tplc="ACE679F6">
      <w:numFmt w:val="bullet"/>
      <w:lvlText w:val="•"/>
      <w:lvlJc w:val="left"/>
      <w:pPr>
        <w:ind w:left="6890" w:hanging="236"/>
      </w:pPr>
      <w:rPr>
        <w:rFonts w:hint="default"/>
        <w:lang w:val="ru-RU" w:eastAsia="en-US" w:bidi="ar-SA"/>
      </w:rPr>
    </w:lvl>
    <w:lvl w:ilvl="8" w:tplc="3E8861D8">
      <w:numFmt w:val="bullet"/>
      <w:lvlText w:val="•"/>
      <w:lvlJc w:val="left"/>
      <w:pPr>
        <w:ind w:left="7854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A2E"/>
    <w:rsid w:val="00A10009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A6CD"/>
  <w15:docId w15:val="{4E6835B2-428B-4C91-8B92-0AA22507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2024-12-18T09:42:00Z</dcterms:created>
  <dcterms:modified xsi:type="dcterms:W3CDTF">2024-12-19T03:21:00Z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D:20220216075537</vt:lpwstr>
  </property>
</Properties>
</file>